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4A0" w:firstRow="1" w:lastRow="0" w:firstColumn="1" w:lastColumn="0" w:noHBand="0" w:noVBand="1"/>
      </w:tblPr>
      <w:tblGrid>
        <w:gridCol w:w="2017"/>
        <w:gridCol w:w="7541"/>
      </w:tblGrid>
      <w:tr w:rsidR="00C22D71" w:rsidTr="00B35FEB">
        <w:tc>
          <w:tcPr>
            <w:tcW w:w="2017" w:type="dxa"/>
            <w:hideMark/>
          </w:tcPr>
          <w:p w:rsidR="00C22D71" w:rsidRDefault="00C22D71">
            <w:pPr>
              <w:jc w:val="both"/>
            </w:pPr>
            <w:r>
              <w:rPr>
                <w:noProof/>
                <w:sz w:val="19"/>
                <w:lang w:val="en-NZ" w:eastAsia="en-NZ"/>
              </w:rPr>
              <w:drawing>
                <wp:inline distT="0" distB="0" distL="0" distR="0" wp14:anchorId="7DC72843" wp14:editId="5C609311">
                  <wp:extent cx="75057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62" r="-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vAlign w:val="center"/>
            <w:hideMark/>
          </w:tcPr>
          <w:p w:rsidR="00B07DFE" w:rsidRPr="00A40B4A" w:rsidRDefault="000F4CDF" w:rsidP="000F4CDF">
            <w:pPr>
              <w:pStyle w:val="Header"/>
              <w:rPr>
                <w:b/>
                <w:color w:val="0F243E" w:themeColor="text2" w:themeShade="80"/>
                <w:sz w:val="44"/>
                <w:szCs w:val="44"/>
                <w:lang w:val="en-GB"/>
              </w:rPr>
            </w:pPr>
            <w:r>
              <w:rPr>
                <w:b/>
                <w:color w:val="0F243E" w:themeColor="text2" w:themeShade="80"/>
                <w:sz w:val="44"/>
                <w:szCs w:val="44"/>
                <w:lang w:val="en-GB"/>
              </w:rPr>
              <w:t xml:space="preserve">     </w:t>
            </w:r>
            <w:r w:rsidR="004A614E" w:rsidRPr="00A40B4A">
              <w:rPr>
                <w:b/>
                <w:color w:val="0F243E" w:themeColor="text2" w:themeShade="80"/>
                <w:sz w:val="44"/>
                <w:szCs w:val="44"/>
                <w:lang w:val="en-GB"/>
              </w:rPr>
              <w:t>Procurement Notice</w:t>
            </w:r>
          </w:p>
          <w:p w:rsidR="00C22D71" w:rsidRPr="00153581" w:rsidRDefault="000F4CDF" w:rsidP="007811E9">
            <w:pPr>
              <w:pStyle w:val="Header"/>
              <w:rPr>
                <w:i/>
                <w:sz w:val="22"/>
                <w:szCs w:val="22"/>
                <w:lang w:val="en-GB"/>
              </w:rPr>
            </w:pPr>
            <w:r>
              <w:rPr>
                <w:b/>
                <w:color w:val="0F243E" w:themeColor="text2" w:themeShade="80"/>
                <w:sz w:val="44"/>
                <w:szCs w:val="44"/>
                <w:lang w:val="en-GB"/>
              </w:rPr>
              <w:t xml:space="preserve">       </w:t>
            </w:r>
            <w:r w:rsidR="00B35FEB" w:rsidRPr="00A40B4A">
              <w:rPr>
                <w:b/>
                <w:color w:val="0F243E" w:themeColor="text2" w:themeShade="80"/>
                <w:sz w:val="44"/>
                <w:szCs w:val="44"/>
                <w:lang w:val="en-GB"/>
              </w:rPr>
              <w:t xml:space="preserve">Ministry of </w:t>
            </w:r>
            <w:r w:rsidR="007811E9">
              <w:rPr>
                <w:b/>
                <w:color w:val="0F243E" w:themeColor="text2" w:themeShade="80"/>
                <w:sz w:val="44"/>
                <w:szCs w:val="44"/>
                <w:lang w:val="en-GB"/>
              </w:rPr>
              <w:t>Health</w:t>
            </w:r>
          </w:p>
        </w:tc>
      </w:tr>
    </w:tbl>
    <w:p w:rsidR="007811E9" w:rsidRDefault="004A614E" w:rsidP="004A614E">
      <w:pPr>
        <w:jc w:val="center"/>
        <w:rPr>
          <w:color w:val="0F243E" w:themeColor="text2" w:themeShade="80"/>
        </w:rPr>
      </w:pPr>
      <w:r w:rsidRPr="00A40B4A">
        <w:rPr>
          <w:color w:val="0F243E" w:themeColor="text2" w:themeShade="80"/>
        </w:rPr>
        <w:t>This</w:t>
      </w:r>
      <w:r w:rsidR="00C05E32">
        <w:rPr>
          <w:color w:val="0F243E" w:themeColor="text2" w:themeShade="80"/>
        </w:rPr>
        <w:t xml:space="preserve"> notice of invitation to bid</w:t>
      </w:r>
      <w:r w:rsidRPr="00A40B4A">
        <w:rPr>
          <w:color w:val="0F243E" w:themeColor="text2" w:themeShade="80"/>
        </w:rPr>
        <w:t xml:space="preserve"> is issued in line with Regulation no.3</w:t>
      </w:r>
      <w:r w:rsidR="007811E9">
        <w:rPr>
          <w:color w:val="0F243E" w:themeColor="text2" w:themeShade="80"/>
        </w:rPr>
        <w:t>8</w:t>
      </w:r>
      <w:r w:rsidRPr="00A40B4A">
        <w:rPr>
          <w:color w:val="0F243E" w:themeColor="text2" w:themeShade="80"/>
        </w:rPr>
        <w:t xml:space="preserve"> of the Public Procurement Regulations 201</w:t>
      </w:r>
      <w:r w:rsidR="007811E9">
        <w:rPr>
          <w:color w:val="0F243E" w:themeColor="text2" w:themeShade="80"/>
        </w:rPr>
        <w:t>5</w:t>
      </w:r>
      <w:r w:rsidRPr="00A40B4A">
        <w:rPr>
          <w:color w:val="0F243E" w:themeColor="text2" w:themeShade="80"/>
        </w:rPr>
        <w:t>.</w:t>
      </w:r>
    </w:p>
    <w:p w:rsidR="000F4CDF" w:rsidRDefault="000F4CDF" w:rsidP="004A614E">
      <w:pPr>
        <w:jc w:val="center"/>
        <w:rPr>
          <w:color w:val="0F243E" w:themeColor="text2" w:themeShade="80"/>
        </w:rPr>
      </w:pPr>
    </w:p>
    <w:p w:rsidR="007811E9" w:rsidRDefault="006D1B35" w:rsidP="004A614E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Notice </w:t>
      </w:r>
      <w:r w:rsidR="007811E9" w:rsidRPr="007811E9">
        <w:rPr>
          <w:b/>
          <w:color w:val="0F243E" w:themeColor="text2" w:themeShade="80"/>
          <w:sz w:val="24"/>
          <w:szCs w:val="24"/>
        </w:rPr>
        <w:t>No</w:t>
      </w:r>
      <w:r w:rsidR="007811E9">
        <w:rPr>
          <w:b/>
          <w:color w:val="0F243E" w:themeColor="text2" w:themeShade="80"/>
          <w:sz w:val="24"/>
          <w:szCs w:val="24"/>
        </w:rPr>
        <w:t>;</w:t>
      </w:r>
      <w:r w:rsidR="007811E9" w:rsidRPr="007811E9">
        <w:rPr>
          <w:b/>
          <w:color w:val="0F243E" w:themeColor="text2" w:themeShade="80"/>
          <w:sz w:val="24"/>
          <w:szCs w:val="24"/>
        </w:rPr>
        <w:t xml:space="preserve"> THSSP 35/2016</w:t>
      </w:r>
    </w:p>
    <w:p w:rsidR="006D1B35" w:rsidRPr="006D1B35" w:rsidRDefault="006D1B35" w:rsidP="004A614E">
      <w:pPr>
        <w:jc w:val="center"/>
        <w:rPr>
          <w:b/>
          <w:color w:val="0F243E" w:themeColor="text2" w:themeShade="80"/>
          <w:sz w:val="24"/>
          <w:szCs w:val="24"/>
        </w:rPr>
      </w:pPr>
      <w:r w:rsidRPr="006D1B35">
        <w:rPr>
          <w:color w:val="0F243E" w:themeColor="text2" w:themeShade="80"/>
          <w:sz w:val="24"/>
          <w:szCs w:val="24"/>
        </w:rPr>
        <w:t>Provision of Technical Consultant – DHIS 2 Project</w:t>
      </w:r>
    </w:p>
    <w:p w:rsidR="00A84940" w:rsidRPr="00A40B4A" w:rsidRDefault="00A84940">
      <w:pPr>
        <w:rPr>
          <w:color w:val="0F243E" w:themeColor="text2" w:themeShade="80"/>
        </w:rPr>
      </w:pPr>
    </w:p>
    <w:tbl>
      <w:tblPr>
        <w:tblStyle w:val="TableGrid"/>
        <w:tblW w:w="9810" w:type="dxa"/>
        <w:tblInd w:w="-16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9"/>
        <w:gridCol w:w="5014"/>
        <w:gridCol w:w="4307"/>
      </w:tblGrid>
      <w:tr w:rsidR="00883930" w:rsidRPr="00B83AE3" w:rsidTr="00A40B4A">
        <w:trPr>
          <w:trHeight w:val="755"/>
        </w:trPr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883930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Contracting Authority</w:t>
            </w:r>
            <w:bookmarkStart w:id="0" w:name="_GoBack"/>
            <w:bookmarkEnd w:id="0"/>
          </w:p>
        </w:tc>
        <w:tc>
          <w:tcPr>
            <w:tcW w:w="4320" w:type="dxa"/>
          </w:tcPr>
          <w:p w:rsidR="00B83AE3" w:rsidRPr="000F4CDF" w:rsidRDefault="00B35FEB" w:rsidP="00B83AE3">
            <w:pPr>
              <w:rPr>
                <w:b/>
                <w:color w:val="0F243E" w:themeColor="text2" w:themeShade="80"/>
              </w:rPr>
            </w:pPr>
            <w:r w:rsidRPr="000F4CDF">
              <w:rPr>
                <w:b/>
                <w:color w:val="0F243E" w:themeColor="text2" w:themeShade="80"/>
              </w:rPr>
              <w:t xml:space="preserve">Ministry of </w:t>
            </w:r>
            <w:r w:rsidR="007811E9" w:rsidRPr="000F4CDF">
              <w:rPr>
                <w:b/>
                <w:color w:val="0F243E" w:themeColor="text2" w:themeShade="80"/>
              </w:rPr>
              <w:t>Health</w:t>
            </w:r>
          </w:p>
          <w:p w:rsidR="007811E9" w:rsidRPr="007811E9" w:rsidRDefault="007811E9" w:rsidP="00B83AE3">
            <w:pPr>
              <w:rPr>
                <w:i/>
                <w:color w:val="0F243E" w:themeColor="text2" w:themeShade="80"/>
              </w:rPr>
            </w:pPr>
            <w:r w:rsidRPr="007811E9">
              <w:t>Vaiola Hospital, Taufa’ahau Road / Vaiola Road  Nuku’alofa / Kingdom of Tonga</w:t>
            </w:r>
          </w:p>
          <w:p w:rsidR="00883930" w:rsidRPr="00A40B4A" w:rsidRDefault="00883930" w:rsidP="00A84940">
            <w:pPr>
              <w:rPr>
                <w:color w:val="0F243E" w:themeColor="text2" w:themeShade="80"/>
              </w:rPr>
            </w:pP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4A614E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Procuring Entity</w:t>
            </w:r>
          </w:p>
        </w:tc>
        <w:tc>
          <w:tcPr>
            <w:tcW w:w="4320" w:type="dxa"/>
          </w:tcPr>
          <w:p w:rsidR="00883930" w:rsidRPr="00A40B4A" w:rsidRDefault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Central Procurement Unit</w:t>
            </w:r>
            <w:r w:rsidR="004A614E" w:rsidRPr="00A40B4A">
              <w:rPr>
                <w:color w:val="0F243E" w:themeColor="text2" w:themeShade="80"/>
              </w:rPr>
              <w:t xml:space="preserve"> of the Ministry of Finance and National Planning</w:t>
            </w:r>
          </w:p>
          <w:p w:rsidR="00883930" w:rsidRPr="00A40B4A" w:rsidRDefault="00A86A5D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TDB Building</w:t>
            </w:r>
            <w:r w:rsidR="004A614E" w:rsidRPr="00A40B4A">
              <w:rPr>
                <w:color w:val="0F243E" w:themeColor="text2" w:themeShade="80"/>
              </w:rPr>
              <w:t>,</w:t>
            </w:r>
            <w:r w:rsidR="00010E68">
              <w:rPr>
                <w:color w:val="0F243E" w:themeColor="text2" w:themeShade="80"/>
              </w:rPr>
              <w:t xml:space="preserve"> </w:t>
            </w:r>
            <w:r w:rsidRPr="00A40B4A">
              <w:rPr>
                <w:color w:val="0F243E" w:themeColor="text2" w:themeShade="80"/>
              </w:rPr>
              <w:t>Fatafehi Road</w:t>
            </w:r>
          </w:p>
          <w:p w:rsidR="00A86A5D" w:rsidRPr="00A40B4A" w:rsidRDefault="004A614E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North Entrance (opposite Min. of Land and Survey), Top (2</w:t>
            </w:r>
            <w:r w:rsidRPr="00A40B4A">
              <w:rPr>
                <w:color w:val="0F243E" w:themeColor="text2" w:themeShade="80"/>
                <w:vertAlign w:val="superscript"/>
              </w:rPr>
              <w:t>nd</w:t>
            </w:r>
            <w:r w:rsidRPr="00A40B4A">
              <w:rPr>
                <w:color w:val="0F243E" w:themeColor="text2" w:themeShade="80"/>
              </w:rPr>
              <w:t>) Floor</w:t>
            </w:r>
          </w:p>
          <w:p w:rsidR="00883930" w:rsidRPr="00A40B4A" w:rsidRDefault="00A86A5D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Nuku’alofa  TONGA</w:t>
            </w:r>
          </w:p>
          <w:p w:rsidR="00A86A5D" w:rsidRPr="00A40B4A" w:rsidRDefault="007811E9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Mr </w:t>
            </w:r>
            <w:r w:rsidRPr="007811E9">
              <w:rPr>
                <w:color w:val="0F243E" w:themeColor="text2" w:themeShade="80"/>
              </w:rPr>
              <w:t>Michael Duncan</w:t>
            </w:r>
          </w:p>
          <w:p w:rsidR="00C8522F" w:rsidRDefault="007811E9" w:rsidP="007811E9">
            <w:pPr>
              <w:rPr>
                <w:color w:val="0F243E" w:themeColor="text2" w:themeShade="80"/>
                <w:lang w:val="en-NZ"/>
              </w:rPr>
            </w:pPr>
            <w:r>
              <w:rPr>
                <w:color w:val="0F243E" w:themeColor="text2" w:themeShade="80"/>
                <w:lang w:val="en-NZ"/>
              </w:rPr>
              <w:t xml:space="preserve">Email </w:t>
            </w:r>
            <w:hyperlink r:id="rId7" w:history="1">
              <w:r w:rsidRPr="00173BD4">
                <w:rPr>
                  <w:rStyle w:val="Hyperlink"/>
                  <w:lang w:val="en-NZ"/>
                </w:rPr>
                <w:t>mduncan@finance.gov.to</w:t>
              </w:r>
            </w:hyperlink>
          </w:p>
          <w:p w:rsidR="007811E9" w:rsidRPr="00A40B4A" w:rsidRDefault="007811E9" w:rsidP="007811E9">
            <w:pPr>
              <w:rPr>
                <w:color w:val="0F243E" w:themeColor="text2" w:themeShade="80"/>
                <w:lang w:val="en-NZ"/>
              </w:rPr>
            </w:pP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883930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Title attributed by Contracting Authority</w:t>
            </w:r>
          </w:p>
        </w:tc>
        <w:tc>
          <w:tcPr>
            <w:tcW w:w="4320" w:type="dxa"/>
            <w:shd w:val="clear" w:color="auto" w:fill="auto"/>
          </w:tcPr>
          <w:p w:rsidR="00883930" w:rsidRPr="007811E9" w:rsidRDefault="00C8522F" w:rsidP="007811E9">
            <w:pPr>
              <w:rPr>
                <w:color w:val="0F243E" w:themeColor="text2" w:themeShade="80"/>
              </w:rPr>
            </w:pPr>
            <w:r w:rsidRPr="007811E9">
              <w:rPr>
                <w:color w:val="0F243E" w:themeColor="text2" w:themeShade="80"/>
              </w:rPr>
              <w:t>Provi</w:t>
            </w:r>
            <w:r w:rsidR="00B83AE3" w:rsidRPr="007811E9">
              <w:rPr>
                <w:color w:val="0F243E" w:themeColor="text2" w:themeShade="80"/>
              </w:rPr>
              <w:t xml:space="preserve">sion of </w:t>
            </w:r>
            <w:r w:rsidR="007811E9" w:rsidRPr="007811E9">
              <w:rPr>
                <w:color w:val="0F243E" w:themeColor="text2" w:themeShade="80"/>
              </w:rPr>
              <w:t>Technical Consultant – DHIS 2 Project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883930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Description of nature of supplies or services</w:t>
            </w:r>
          </w:p>
        </w:tc>
        <w:tc>
          <w:tcPr>
            <w:tcW w:w="4320" w:type="dxa"/>
          </w:tcPr>
          <w:p w:rsidR="00C54712" w:rsidRPr="007811E9" w:rsidRDefault="007811E9" w:rsidP="007811E9">
            <w:pPr>
              <w:rPr>
                <w:color w:val="0F243E" w:themeColor="text2" w:themeShade="80"/>
              </w:rPr>
            </w:pPr>
            <w:r w:rsidRPr="007811E9">
              <w:rPr>
                <w:color w:val="0F243E" w:themeColor="text2" w:themeShade="80"/>
              </w:rPr>
              <w:t>Supply of Technical Support for DHIS 2 Project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4A614E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Time frame of execution</w:t>
            </w:r>
          </w:p>
        </w:tc>
        <w:tc>
          <w:tcPr>
            <w:tcW w:w="4320" w:type="dxa"/>
          </w:tcPr>
          <w:p w:rsidR="00883930" w:rsidRPr="007811E9" w:rsidRDefault="007811E9" w:rsidP="007811E9">
            <w:pPr>
              <w:rPr>
                <w:color w:val="0F243E" w:themeColor="text2" w:themeShade="80"/>
              </w:rPr>
            </w:pPr>
            <w:r w:rsidRPr="007811E9">
              <w:rPr>
                <w:color w:val="0F243E" w:themeColor="text2" w:themeShade="80"/>
              </w:rPr>
              <w:t>Project Starting July 2016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883930" w:rsidP="007811E9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Procurement method (selected in line with Public Procurement Regulations 201</w:t>
            </w:r>
            <w:r w:rsidR="007811E9">
              <w:rPr>
                <w:color w:val="0F243E" w:themeColor="text2" w:themeShade="80"/>
              </w:rPr>
              <w:t>5</w:t>
            </w:r>
            <w:r w:rsidRPr="00A40B4A">
              <w:rPr>
                <w:color w:val="0F243E" w:themeColor="text2" w:themeShade="80"/>
              </w:rPr>
              <w:t>)</w:t>
            </w:r>
          </w:p>
        </w:tc>
        <w:tc>
          <w:tcPr>
            <w:tcW w:w="4320" w:type="dxa"/>
          </w:tcPr>
          <w:p w:rsidR="00883930" w:rsidRPr="007811E9" w:rsidRDefault="007811E9">
            <w:pPr>
              <w:rPr>
                <w:color w:val="0F243E" w:themeColor="text2" w:themeShade="80"/>
              </w:rPr>
            </w:pPr>
            <w:r w:rsidRPr="007811E9">
              <w:rPr>
                <w:color w:val="0F243E" w:themeColor="text2" w:themeShade="80"/>
              </w:rPr>
              <w:t>Competitive Bidding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883930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883930" w:rsidRPr="00A40B4A" w:rsidRDefault="00883930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Scheduled</w:t>
            </w:r>
            <w:r w:rsidR="000F37F6" w:rsidRPr="00A40B4A">
              <w:rPr>
                <w:color w:val="0F243E" w:themeColor="text2" w:themeShade="80"/>
              </w:rPr>
              <w:t xml:space="preserve"> earliest </w:t>
            </w:r>
            <w:r w:rsidRPr="00A40B4A">
              <w:rPr>
                <w:color w:val="0F243E" w:themeColor="text2" w:themeShade="80"/>
              </w:rPr>
              <w:t>date and place for collection of bidding documents</w:t>
            </w:r>
          </w:p>
        </w:tc>
        <w:tc>
          <w:tcPr>
            <w:tcW w:w="4320" w:type="dxa"/>
          </w:tcPr>
          <w:p w:rsidR="00883930" w:rsidRPr="00A40B4A" w:rsidRDefault="007811E9" w:rsidP="000F4CDF">
            <w:pPr>
              <w:rPr>
                <w:color w:val="0F243E" w:themeColor="text2" w:themeShade="80"/>
              </w:rPr>
            </w:pPr>
            <w:r w:rsidRPr="000F4CDF">
              <w:rPr>
                <w:b/>
                <w:i/>
                <w:color w:val="0F243E" w:themeColor="text2" w:themeShade="80"/>
              </w:rPr>
              <w:t>1</w:t>
            </w:r>
            <w:r w:rsidRPr="000F4CDF">
              <w:rPr>
                <w:b/>
                <w:i/>
                <w:color w:val="0F243E" w:themeColor="text2" w:themeShade="80"/>
                <w:vertAlign w:val="superscript"/>
              </w:rPr>
              <w:t>st</w:t>
            </w:r>
            <w:r w:rsidRPr="000F4CDF">
              <w:rPr>
                <w:b/>
                <w:i/>
                <w:color w:val="0F243E" w:themeColor="text2" w:themeShade="80"/>
              </w:rPr>
              <w:t xml:space="preserve"> June 2016</w:t>
            </w:r>
            <w:r>
              <w:rPr>
                <w:i/>
                <w:color w:val="0F243E" w:themeColor="text2" w:themeShade="80"/>
              </w:rPr>
              <w:t xml:space="preserve"> from</w:t>
            </w:r>
            <w:r w:rsidR="00C54712" w:rsidRPr="00A40B4A">
              <w:rPr>
                <w:color w:val="0F243E" w:themeColor="text2" w:themeShade="80"/>
              </w:rPr>
              <w:t xml:space="preserve"> Procuring Entity (see no. 2 above)</w:t>
            </w:r>
            <w:r>
              <w:rPr>
                <w:color w:val="0F243E" w:themeColor="text2" w:themeShade="80"/>
              </w:rPr>
              <w:t xml:space="preserve"> email to Procurement Advisor</w:t>
            </w:r>
            <w:r w:rsidR="000F4CDF" w:rsidRPr="00A40B4A">
              <w:rPr>
                <w:color w:val="0F243E" w:themeColor="text2" w:themeShade="80"/>
              </w:rPr>
              <w:t>(see no. 2 above</w:t>
            </w:r>
            <w:r w:rsidR="000F4CDF">
              <w:rPr>
                <w:color w:val="0F243E" w:themeColor="text2" w:themeShade="80"/>
              </w:rPr>
              <w:t>)</w:t>
            </w:r>
          </w:p>
        </w:tc>
      </w:tr>
      <w:tr w:rsidR="000F37F6" w:rsidRPr="00A40B4A" w:rsidTr="00A40B4A">
        <w:tc>
          <w:tcPr>
            <w:tcW w:w="450" w:type="dxa"/>
          </w:tcPr>
          <w:p w:rsidR="000F37F6" w:rsidRPr="00A40B4A" w:rsidRDefault="000F37F6" w:rsidP="00883930">
            <w:pPr>
              <w:pStyle w:val="ListParagraph"/>
              <w:numPr>
                <w:ilvl w:val="0"/>
                <w:numId w:val="2"/>
              </w:numPr>
              <w:rPr>
                <w:color w:val="0F243E" w:themeColor="text2" w:themeShade="80"/>
              </w:rPr>
            </w:pPr>
          </w:p>
        </w:tc>
        <w:tc>
          <w:tcPr>
            <w:tcW w:w="5040" w:type="dxa"/>
          </w:tcPr>
          <w:p w:rsidR="000F37F6" w:rsidRPr="00A40B4A" w:rsidRDefault="000F37F6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Price of bidding documents (not refundable)</w:t>
            </w:r>
          </w:p>
        </w:tc>
        <w:tc>
          <w:tcPr>
            <w:tcW w:w="4320" w:type="dxa"/>
          </w:tcPr>
          <w:p w:rsidR="000F37F6" w:rsidRPr="00010E68" w:rsidRDefault="007811E9" w:rsidP="00666D6C">
            <w:pPr>
              <w:rPr>
                <w:color w:val="FF0000"/>
              </w:rPr>
            </w:pPr>
            <w:r>
              <w:rPr>
                <w:color w:val="0F243E" w:themeColor="text2" w:themeShade="80"/>
              </w:rPr>
              <w:t>N/A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0F37F6" w:rsidP="000F37F6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9.</w:t>
            </w:r>
          </w:p>
        </w:tc>
        <w:tc>
          <w:tcPr>
            <w:tcW w:w="5040" w:type="dxa"/>
          </w:tcPr>
          <w:p w:rsidR="00883930" w:rsidRPr="00A40B4A" w:rsidRDefault="00883930" w:rsidP="00883930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Scheduled submission date</w:t>
            </w:r>
            <w:r w:rsidR="009C2036">
              <w:rPr>
                <w:color w:val="0F243E" w:themeColor="text2" w:themeShade="80"/>
              </w:rPr>
              <w:t>, time</w:t>
            </w:r>
            <w:r w:rsidRPr="00A40B4A">
              <w:rPr>
                <w:color w:val="0F243E" w:themeColor="text2" w:themeShade="80"/>
              </w:rPr>
              <w:t xml:space="preserve"> and place</w:t>
            </w:r>
          </w:p>
        </w:tc>
        <w:tc>
          <w:tcPr>
            <w:tcW w:w="4320" w:type="dxa"/>
          </w:tcPr>
          <w:p w:rsidR="00883930" w:rsidRPr="00A40B4A" w:rsidRDefault="007811E9" w:rsidP="007811E9">
            <w:pPr>
              <w:rPr>
                <w:color w:val="0F243E" w:themeColor="text2" w:themeShade="80"/>
              </w:rPr>
            </w:pPr>
            <w:r w:rsidRPr="000F4CDF">
              <w:rPr>
                <w:b/>
                <w:color w:val="0F243E" w:themeColor="text2" w:themeShade="80"/>
              </w:rPr>
              <w:t>15</w:t>
            </w:r>
            <w:r w:rsidRPr="000F4CDF">
              <w:rPr>
                <w:b/>
                <w:color w:val="0F243E" w:themeColor="text2" w:themeShade="80"/>
                <w:vertAlign w:val="superscript"/>
              </w:rPr>
              <w:t>th</w:t>
            </w:r>
            <w:r w:rsidRPr="000F4CDF">
              <w:rPr>
                <w:b/>
                <w:color w:val="0F243E" w:themeColor="text2" w:themeShade="80"/>
              </w:rPr>
              <w:t xml:space="preserve"> June 2016 12</w:t>
            </w:r>
            <w:r w:rsidR="000F4CDF">
              <w:rPr>
                <w:b/>
                <w:color w:val="0F243E" w:themeColor="text2" w:themeShade="80"/>
              </w:rPr>
              <w:t xml:space="preserve"> </w:t>
            </w:r>
            <w:r w:rsidRPr="000F4CDF">
              <w:rPr>
                <w:b/>
                <w:color w:val="0F243E" w:themeColor="text2" w:themeShade="80"/>
              </w:rPr>
              <w:t>noon Tongan Time</w:t>
            </w:r>
            <w:r w:rsidR="00666D6C">
              <w:rPr>
                <w:i/>
                <w:color w:val="0F243E" w:themeColor="text2" w:themeShade="80"/>
              </w:rPr>
              <w:t xml:space="preserve"> </w:t>
            </w:r>
            <w:r w:rsidR="00F7209F" w:rsidRPr="00A40B4A">
              <w:rPr>
                <w:color w:val="0F243E" w:themeColor="text2" w:themeShade="80"/>
              </w:rPr>
              <w:t>at place of Procuring Entity (see no. 2 above)</w:t>
            </w:r>
            <w:r>
              <w:rPr>
                <w:color w:val="0F243E" w:themeColor="text2" w:themeShade="80"/>
              </w:rPr>
              <w:t xml:space="preserve"> or</w:t>
            </w:r>
            <w:r w:rsidR="000F4CDF">
              <w:rPr>
                <w:color w:val="0F243E" w:themeColor="text2" w:themeShade="80"/>
              </w:rPr>
              <w:t xml:space="preserve"> to Procurement Advisor</w:t>
            </w:r>
            <w:r w:rsidR="000F4CDF" w:rsidRPr="00A40B4A">
              <w:rPr>
                <w:color w:val="0F243E" w:themeColor="text2" w:themeShade="80"/>
              </w:rPr>
              <w:t>(see no. 2 above</w:t>
            </w:r>
            <w:r w:rsidR="000F4CDF">
              <w:rPr>
                <w:color w:val="0F243E" w:themeColor="text2" w:themeShade="80"/>
              </w:rPr>
              <w:t xml:space="preserve">) 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0F37F6" w:rsidP="000F37F6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10.</w:t>
            </w:r>
          </w:p>
        </w:tc>
        <w:tc>
          <w:tcPr>
            <w:tcW w:w="5040" w:type="dxa"/>
          </w:tcPr>
          <w:p w:rsidR="00883930" w:rsidRPr="00A40B4A" w:rsidRDefault="002904BC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Information about lots</w:t>
            </w:r>
          </w:p>
        </w:tc>
        <w:tc>
          <w:tcPr>
            <w:tcW w:w="4320" w:type="dxa"/>
          </w:tcPr>
          <w:p w:rsidR="00883930" w:rsidRPr="00A40B4A" w:rsidRDefault="000F4CD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Nil</w:t>
            </w:r>
          </w:p>
        </w:tc>
      </w:tr>
      <w:tr w:rsidR="00883930" w:rsidRPr="00A40B4A" w:rsidTr="00A40B4A">
        <w:trPr>
          <w:trHeight w:val="64"/>
        </w:trPr>
        <w:tc>
          <w:tcPr>
            <w:tcW w:w="450" w:type="dxa"/>
          </w:tcPr>
          <w:p w:rsidR="00883930" w:rsidRPr="00A40B4A" w:rsidRDefault="000F37F6" w:rsidP="000F37F6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11.</w:t>
            </w:r>
          </w:p>
        </w:tc>
        <w:tc>
          <w:tcPr>
            <w:tcW w:w="5040" w:type="dxa"/>
          </w:tcPr>
          <w:p w:rsidR="00883930" w:rsidRPr="00A40B4A" w:rsidRDefault="002904BC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Other relevant information</w:t>
            </w:r>
          </w:p>
        </w:tc>
        <w:tc>
          <w:tcPr>
            <w:tcW w:w="4320" w:type="dxa"/>
          </w:tcPr>
          <w:p w:rsidR="00883930" w:rsidRPr="00A40B4A" w:rsidRDefault="000F4CD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Nil</w:t>
            </w:r>
          </w:p>
        </w:tc>
      </w:tr>
      <w:tr w:rsidR="00883930" w:rsidRPr="00A40B4A" w:rsidTr="00A40B4A">
        <w:tc>
          <w:tcPr>
            <w:tcW w:w="450" w:type="dxa"/>
          </w:tcPr>
          <w:p w:rsidR="00883930" w:rsidRPr="00A40B4A" w:rsidRDefault="000F37F6" w:rsidP="000F37F6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12.</w:t>
            </w:r>
          </w:p>
        </w:tc>
        <w:tc>
          <w:tcPr>
            <w:tcW w:w="5040" w:type="dxa"/>
          </w:tcPr>
          <w:p w:rsidR="00883930" w:rsidRPr="00A40B4A" w:rsidRDefault="002904BC">
            <w:pPr>
              <w:rPr>
                <w:color w:val="0F243E" w:themeColor="text2" w:themeShade="80"/>
              </w:rPr>
            </w:pPr>
            <w:r w:rsidRPr="00A40B4A">
              <w:rPr>
                <w:color w:val="0F243E" w:themeColor="text2" w:themeShade="80"/>
              </w:rPr>
              <w:t>Date of dispatch of this notice</w:t>
            </w:r>
          </w:p>
        </w:tc>
        <w:tc>
          <w:tcPr>
            <w:tcW w:w="4320" w:type="dxa"/>
          </w:tcPr>
          <w:p w:rsidR="00883930" w:rsidRPr="00666D6C" w:rsidRDefault="000F4CDF">
            <w:pPr>
              <w:rPr>
                <w:i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31</w:t>
            </w:r>
            <w:r w:rsidRPr="000F4CDF">
              <w:rPr>
                <w:color w:val="0F243E" w:themeColor="text2" w:themeShade="80"/>
                <w:vertAlign w:val="superscript"/>
              </w:rPr>
              <w:t>st</w:t>
            </w:r>
            <w:r>
              <w:rPr>
                <w:color w:val="0F243E" w:themeColor="text2" w:themeShade="80"/>
              </w:rPr>
              <w:t xml:space="preserve"> May 2016</w:t>
            </w:r>
          </w:p>
        </w:tc>
      </w:tr>
    </w:tbl>
    <w:p w:rsidR="00A84940" w:rsidRPr="00A40B4A" w:rsidRDefault="00A84940">
      <w:pPr>
        <w:rPr>
          <w:color w:val="0F243E" w:themeColor="text2" w:themeShade="80"/>
        </w:rPr>
      </w:pPr>
    </w:p>
    <w:sectPr w:rsidR="00A84940" w:rsidRPr="00A40B4A" w:rsidSect="00AB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7D7"/>
    <w:multiLevelType w:val="hybridMultilevel"/>
    <w:tmpl w:val="3412F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A4E150B"/>
    <w:multiLevelType w:val="hybridMultilevel"/>
    <w:tmpl w:val="26F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6366"/>
    <w:multiLevelType w:val="hybridMultilevel"/>
    <w:tmpl w:val="2D0CAB5A"/>
    <w:lvl w:ilvl="0" w:tplc="417218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2433"/>
    <w:multiLevelType w:val="hybridMultilevel"/>
    <w:tmpl w:val="064AB4B8"/>
    <w:lvl w:ilvl="0" w:tplc="41721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9007C"/>
    <w:multiLevelType w:val="hybridMultilevel"/>
    <w:tmpl w:val="781C4462"/>
    <w:lvl w:ilvl="0" w:tplc="41721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B365D"/>
    <w:multiLevelType w:val="hybridMultilevel"/>
    <w:tmpl w:val="C8946FE6"/>
    <w:lvl w:ilvl="0" w:tplc="417218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1"/>
    <w:rsid w:val="00010E68"/>
    <w:rsid w:val="00095273"/>
    <w:rsid w:val="000F37F6"/>
    <w:rsid w:val="000F4CDF"/>
    <w:rsid w:val="00153581"/>
    <w:rsid w:val="002904BC"/>
    <w:rsid w:val="002A3176"/>
    <w:rsid w:val="00374304"/>
    <w:rsid w:val="00393839"/>
    <w:rsid w:val="004601A9"/>
    <w:rsid w:val="004A614E"/>
    <w:rsid w:val="00666D6C"/>
    <w:rsid w:val="006D1B35"/>
    <w:rsid w:val="00765FD2"/>
    <w:rsid w:val="007811E9"/>
    <w:rsid w:val="00831A69"/>
    <w:rsid w:val="00883930"/>
    <w:rsid w:val="008F423F"/>
    <w:rsid w:val="00980E0B"/>
    <w:rsid w:val="009C2036"/>
    <w:rsid w:val="00A40B4A"/>
    <w:rsid w:val="00A84940"/>
    <w:rsid w:val="00A86A5D"/>
    <w:rsid w:val="00A924B7"/>
    <w:rsid w:val="00AB1649"/>
    <w:rsid w:val="00B07DFE"/>
    <w:rsid w:val="00B35FEB"/>
    <w:rsid w:val="00B83AE3"/>
    <w:rsid w:val="00C05E32"/>
    <w:rsid w:val="00C22D71"/>
    <w:rsid w:val="00C54712"/>
    <w:rsid w:val="00C8522F"/>
    <w:rsid w:val="00DA2748"/>
    <w:rsid w:val="00E17375"/>
    <w:rsid w:val="00E82530"/>
    <w:rsid w:val="00EB074B"/>
    <w:rsid w:val="00F7209F"/>
    <w:rsid w:val="00F8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1"/>
    <w:pPr>
      <w:spacing w:after="0" w:line="240" w:lineRule="auto"/>
    </w:pPr>
    <w:rPr>
      <w:rFonts w:ascii="Arial" w:eastAsia="Times New Roman" w:hAnsi="Arial" w:cs="Arial"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71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2D71"/>
    <w:rPr>
      <w:rFonts w:ascii="Arial" w:eastAsia="Times New Roman" w:hAnsi="Arial" w:cs="Arial"/>
      <w:spacing w:val="-2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71"/>
    <w:rPr>
      <w:rFonts w:ascii="Tahoma" w:eastAsia="Times New Roman" w:hAnsi="Tahoma" w:cs="Tahoma"/>
      <w:spacing w:val="-2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712"/>
    <w:pPr>
      <w:spacing w:before="100" w:beforeAutospacing="1" w:after="100" w:afterAutospacing="1"/>
    </w:pPr>
    <w:rPr>
      <w:rFonts w:ascii="Times New Roman" w:eastAsiaTheme="minorHAnsi" w:hAnsi="Times New Roman" w:cs="Times New Roman"/>
      <w:spacing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1"/>
    <w:pPr>
      <w:spacing w:after="0" w:line="240" w:lineRule="auto"/>
    </w:pPr>
    <w:rPr>
      <w:rFonts w:ascii="Arial" w:eastAsia="Times New Roman" w:hAnsi="Arial" w:cs="Arial"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71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2D71"/>
    <w:rPr>
      <w:rFonts w:ascii="Arial" w:eastAsia="Times New Roman" w:hAnsi="Arial" w:cs="Arial"/>
      <w:spacing w:val="-2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71"/>
    <w:rPr>
      <w:rFonts w:ascii="Tahoma" w:eastAsia="Times New Roman" w:hAnsi="Tahoma" w:cs="Tahoma"/>
      <w:spacing w:val="-2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712"/>
    <w:pPr>
      <w:spacing w:before="100" w:beforeAutospacing="1" w:after="100" w:afterAutospacing="1"/>
    </w:pPr>
    <w:rPr>
      <w:rFonts w:ascii="Times New Roman" w:eastAsiaTheme="minorHAnsi" w:hAnsi="Times New Roman" w:cs="Times New Roman"/>
      <w:spacing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uncan@finance.gov.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Feistauer</dc:creator>
  <cp:lastModifiedBy>Michael Duncan</cp:lastModifiedBy>
  <cp:revision>3</cp:revision>
  <cp:lastPrinted>2013-12-04T21:17:00Z</cp:lastPrinted>
  <dcterms:created xsi:type="dcterms:W3CDTF">2016-05-31T01:23:00Z</dcterms:created>
  <dcterms:modified xsi:type="dcterms:W3CDTF">2016-05-31T01:25:00Z</dcterms:modified>
</cp:coreProperties>
</file>